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90E1" w14:textId="324B9B45" w:rsidR="00D04710" w:rsidRDefault="00D04710" w:rsidP="00D04710">
      <w:pPr>
        <w:tabs>
          <w:tab w:val="num" w:pos="720"/>
          <w:tab w:val="num" w:pos="1440"/>
        </w:tabs>
        <w:jc w:val="cente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206589078"/>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Fourth</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Statement</w:t>
      </w:r>
    </w:p>
    <w:p w14:paraId="1E6C45B2" w14:textId="61E9D494" w:rsidR="00D04710" w:rsidRDefault="00D04710" w:rsidP="00D04710">
      <w:pPr>
        <w:tabs>
          <w:tab w:val="num" w:pos="720"/>
          <w:tab w:val="num" w:pos="1440"/>
        </w:tabs>
        <w:jc w:val="cente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Integrating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iolence against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omen into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onventional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rms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xport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isk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ssessments</w:t>
      </w:r>
    </w:p>
    <w:p w14:paraId="1757AD01" w14:textId="274CAB7E" w:rsidR="00D04710" w:rsidRDefault="00D04710" w:rsidP="00D04710">
      <w:pPr>
        <w:pBdr>
          <w:bottom w:val="single" w:sz="18" w:space="1" w:color="auto"/>
        </w:pBdr>
        <w:tabs>
          <w:tab w:val="num" w:pos="720"/>
          <w:tab w:val="num" w:pos="1440"/>
        </w:tabs>
        <w:jc w:val="center"/>
        <w:rPr>
          <w:rFonts w:asciiTheme="majorBidi" w:hAnsiTheme="majorBidi" w:cstheme="majorBidi"/>
          <w:b/>
          <w:bCs/>
          <w:color w:val="ED7D31" w:themeColor="accent2"/>
          <w:sz w:val="24"/>
          <w:szCs w:val="24"/>
        </w:rPr>
      </w:pP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Item: </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Effective </w:t>
      </w:r>
      <w:r>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D04710">
        <w:rPr>
          <w:rFonts w:asciiTheme="majorBidi" w:hAnsiTheme="majorBidi" w:cstheme="majorBidi"/>
          <w:b/>
          <w:bCs/>
          <w:color w:val="1F3864"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mplementation of the Arms Trade Treaty</w:t>
      </w:r>
    </w:p>
    <w:p w14:paraId="5DF457D9" w14:textId="6AA5E6C0" w:rsidR="00D04710" w:rsidRDefault="00D04710" w:rsidP="00D04710">
      <w:pPr>
        <w:tabs>
          <w:tab w:val="num" w:pos="720"/>
          <w:tab w:val="num" w:pos="1440"/>
        </w:tabs>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Thank you, Mr. President.</w:t>
      </w:r>
      <w:bookmarkEnd w:id="0"/>
    </w:p>
    <w:p w14:paraId="4324A04B" w14:textId="77777777" w:rsidR="00D04710" w:rsidRPr="00D04710" w:rsidRDefault="00D04710" w:rsidP="00D04710">
      <w:pPr>
        <w:tabs>
          <w:tab w:val="num" w:pos="720"/>
          <w:tab w:val="num" w:pos="1440"/>
        </w:tabs>
        <w:jc w:val="both"/>
        <w:rPr>
          <w:rFonts w:asciiTheme="majorBidi" w:hAnsiTheme="majorBidi" w:cstheme="majorBidi"/>
          <w:color w:val="000000" w:themeColor="text1"/>
          <w:sz w:val="24"/>
          <w:szCs w:val="24"/>
        </w:rPr>
      </w:pPr>
      <w:r w:rsidRPr="00D04710">
        <w:rPr>
          <w:rFonts w:asciiTheme="majorBidi" w:hAnsiTheme="majorBidi" w:cstheme="majorBidi"/>
          <w:color w:val="000000" w:themeColor="text1"/>
          <w:sz w:val="24"/>
          <w:szCs w:val="24"/>
        </w:rPr>
        <w:t>Irresponsible or illicit arms transfers fuel the commission of crimes of violence against women in many conflict zones around the world. The flow of arms to the Israeli occupation forces has fueled sexual and other violence against Palestinian women since October 2023.</w:t>
      </w:r>
    </w:p>
    <w:p w14:paraId="26D46769" w14:textId="5E111BFC" w:rsidR="00D04710" w:rsidRPr="00D04710" w:rsidRDefault="00D04710" w:rsidP="00D04710">
      <w:pPr>
        <w:tabs>
          <w:tab w:val="num" w:pos="720"/>
          <w:tab w:val="num" w:pos="1440"/>
        </w:tabs>
        <w:jc w:val="both"/>
        <w:rPr>
          <w:rFonts w:asciiTheme="majorBidi" w:hAnsiTheme="majorBidi" w:cstheme="majorBidi"/>
          <w:color w:val="000000" w:themeColor="text1"/>
          <w:sz w:val="24"/>
          <w:szCs w:val="24"/>
        </w:rPr>
      </w:pPr>
      <w:r w:rsidRPr="00D04710">
        <w:rPr>
          <w:rFonts w:asciiTheme="majorBidi" w:hAnsiTheme="majorBidi" w:cstheme="majorBidi"/>
          <w:color w:val="000000" w:themeColor="text1"/>
          <w:sz w:val="24"/>
          <w:szCs w:val="24"/>
        </w:rPr>
        <w:t>In Sudan, the diversion of arms to the Rapid Support Forces has contributed to their commission of crimes of sexual violence, including rape</w:t>
      </w:r>
      <w:r>
        <w:rPr>
          <w:rFonts w:asciiTheme="majorBidi" w:hAnsiTheme="majorBidi" w:cstheme="majorBidi"/>
          <w:color w:val="000000" w:themeColor="text1"/>
          <w:sz w:val="24"/>
          <w:szCs w:val="24"/>
        </w:rPr>
        <w:t>.</w:t>
      </w:r>
      <w:r w:rsidRPr="00D04710">
        <w:rPr>
          <w:rFonts w:asciiTheme="majorBidi" w:hAnsiTheme="majorBidi" w:cstheme="majorBidi"/>
          <w:color w:val="000000" w:themeColor="text1"/>
          <w:sz w:val="24"/>
          <w:szCs w:val="24"/>
        </w:rPr>
        <w:t xml:space="preserve"> These crimes constitute war crimes and crimes against humanity. Maat has documented field testimonies of women subjected to physical violence at gunpoint.</w:t>
      </w:r>
    </w:p>
    <w:p w14:paraId="7B69C34E" w14:textId="3D8FE39D" w:rsidR="00D04710" w:rsidRDefault="00D04710" w:rsidP="00D04710">
      <w:pPr>
        <w:tabs>
          <w:tab w:val="num" w:pos="720"/>
          <w:tab w:val="num" w:pos="1440"/>
        </w:tabs>
        <w:jc w:val="both"/>
        <w:rPr>
          <w:rFonts w:asciiTheme="majorBidi" w:hAnsiTheme="majorBidi" w:cstheme="majorBidi"/>
          <w:color w:val="000000" w:themeColor="text1"/>
          <w:sz w:val="24"/>
          <w:szCs w:val="24"/>
        </w:rPr>
      </w:pPr>
      <w:r w:rsidRPr="00D04710">
        <w:rPr>
          <w:rFonts w:asciiTheme="majorBidi" w:hAnsiTheme="majorBidi" w:cstheme="majorBidi"/>
          <w:color w:val="000000" w:themeColor="text1"/>
          <w:sz w:val="24"/>
          <w:szCs w:val="24"/>
        </w:rPr>
        <w:t>Under Article 7(4) of the Arms Trade Treaty, States Parties are required to assess whether arms exports may facilitate the commission of serious acts of gender-based violence against women. Despite the clear evidence, arms exports continue to flow to parties implicated in such violations, including the Israeli occupation forces.</w:t>
      </w:r>
    </w:p>
    <w:p w14:paraId="2296D55A" w14:textId="0E27A50D" w:rsidR="00BE40F1" w:rsidRPr="00BE40F1" w:rsidRDefault="00BE40F1" w:rsidP="00BE40F1">
      <w:pPr>
        <w:tabs>
          <w:tab w:val="num" w:pos="720"/>
          <w:tab w:val="num" w:pos="1440"/>
        </w:tabs>
        <w:jc w:val="both"/>
        <w:rPr>
          <w:rFonts w:asciiTheme="majorBidi" w:hAnsiTheme="majorBidi" w:cstheme="majorBidi"/>
          <w:color w:val="000000" w:themeColor="text1"/>
          <w:sz w:val="24"/>
          <w:szCs w:val="24"/>
        </w:rPr>
      </w:pPr>
      <w:r w:rsidRPr="00BE40F1">
        <w:rPr>
          <w:rFonts w:asciiTheme="majorBidi" w:hAnsiTheme="majorBidi" w:cstheme="majorBidi"/>
          <w:color w:val="000000" w:themeColor="text1"/>
          <w:sz w:val="24"/>
          <w:szCs w:val="24"/>
        </w:rPr>
        <w:t xml:space="preserve">Article 11 of the </w:t>
      </w:r>
      <w:r>
        <w:rPr>
          <w:rFonts w:asciiTheme="majorBidi" w:hAnsiTheme="majorBidi" w:cstheme="majorBidi"/>
          <w:color w:val="000000" w:themeColor="text1"/>
          <w:sz w:val="24"/>
          <w:szCs w:val="24"/>
        </w:rPr>
        <w:t>ATT</w:t>
      </w:r>
      <w:r w:rsidRPr="00BE40F1">
        <w:rPr>
          <w:rFonts w:asciiTheme="majorBidi" w:hAnsiTheme="majorBidi" w:cstheme="majorBidi"/>
          <w:color w:val="000000" w:themeColor="text1"/>
          <w:sz w:val="24"/>
          <w:szCs w:val="24"/>
        </w:rPr>
        <w:t xml:space="preserve"> prohibits the diversion of arms to non-state actors. However, weapons have reached the Rapid Support Forces in Sudan and have been used to commit crimes of sexual violence.</w:t>
      </w:r>
    </w:p>
    <w:p w14:paraId="0F83AE79" w14:textId="77777777" w:rsidR="00BE40F1" w:rsidRPr="00BE40F1" w:rsidRDefault="00BE40F1" w:rsidP="00BE40F1">
      <w:pPr>
        <w:tabs>
          <w:tab w:val="num" w:pos="720"/>
          <w:tab w:val="num" w:pos="1440"/>
        </w:tabs>
        <w:jc w:val="both"/>
        <w:rPr>
          <w:rFonts w:asciiTheme="majorBidi" w:hAnsiTheme="majorBidi" w:cstheme="majorBidi"/>
          <w:color w:val="000000" w:themeColor="text1"/>
          <w:sz w:val="24"/>
          <w:szCs w:val="24"/>
        </w:rPr>
      </w:pPr>
      <w:r w:rsidRPr="00BE40F1">
        <w:rPr>
          <w:rFonts w:asciiTheme="majorBidi" w:hAnsiTheme="majorBidi" w:cstheme="majorBidi"/>
          <w:color w:val="000000" w:themeColor="text1"/>
          <w:sz w:val="24"/>
          <w:szCs w:val="24"/>
        </w:rPr>
        <w:t>In this context, Maat welcomes the draft resolution submitted by Mexico to establish gender focal points under the Arms Trade Treaty, as an important step toward integrating a gender perspective into all treaty processes and promoting its effective implementation.</w:t>
      </w:r>
    </w:p>
    <w:p w14:paraId="49C90417" w14:textId="77777777" w:rsidR="00BE40F1" w:rsidRPr="00BE40F1" w:rsidRDefault="00BE40F1" w:rsidP="00BE40F1">
      <w:pPr>
        <w:tabs>
          <w:tab w:val="num" w:pos="720"/>
          <w:tab w:val="num" w:pos="1440"/>
        </w:tabs>
        <w:jc w:val="both"/>
        <w:rPr>
          <w:rFonts w:asciiTheme="majorBidi" w:hAnsiTheme="majorBidi" w:cstheme="majorBidi"/>
          <w:color w:val="000000" w:themeColor="text1"/>
          <w:sz w:val="24"/>
          <w:szCs w:val="24"/>
        </w:rPr>
      </w:pPr>
      <w:r w:rsidRPr="00BE40F1">
        <w:rPr>
          <w:rFonts w:asciiTheme="majorBidi" w:hAnsiTheme="majorBidi" w:cstheme="majorBidi"/>
          <w:color w:val="000000" w:themeColor="text1"/>
          <w:sz w:val="24"/>
          <w:szCs w:val="24"/>
        </w:rPr>
        <w:t xml:space="preserve">Maat calls on States Parties to integrate risk assessments of violence against women into their national monitoring systems, based on clear criteria, </w:t>
      </w:r>
      <w:r w:rsidRPr="00BE40F1">
        <w:rPr>
          <w:rFonts w:asciiTheme="majorBidi" w:hAnsiTheme="majorBidi" w:cstheme="majorBidi"/>
          <w:color w:val="000000" w:themeColor="text1"/>
          <w:sz w:val="24"/>
          <w:szCs w:val="24"/>
          <w:u w:val="single"/>
        </w:rPr>
        <w:t>including:</w:t>
      </w:r>
    </w:p>
    <w:p w14:paraId="66EA8BD5" w14:textId="77777777" w:rsidR="00BE40F1" w:rsidRDefault="00BE40F1" w:rsidP="00BE40F1">
      <w:pPr>
        <w:pStyle w:val="ListParagraph"/>
        <w:numPr>
          <w:ilvl w:val="0"/>
          <w:numId w:val="45"/>
        </w:numPr>
        <w:tabs>
          <w:tab w:val="num" w:pos="720"/>
          <w:tab w:val="num" w:pos="1440"/>
        </w:tabs>
        <w:jc w:val="both"/>
        <w:rPr>
          <w:rFonts w:asciiTheme="majorBidi" w:hAnsiTheme="majorBidi" w:cstheme="majorBidi"/>
          <w:color w:val="000000" w:themeColor="text1"/>
          <w:sz w:val="24"/>
          <w:szCs w:val="24"/>
        </w:rPr>
      </w:pPr>
      <w:r w:rsidRPr="00BE40F1">
        <w:rPr>
          <w:rFonts w:asciiTheme="majorBidi" w:hAnsiTheme="majorBidi" w:cstheme="majorBidi"/>
          <w:color w:val="000000" w:themeColor="text1"/>
          <w:sz w:val="24"/>
          <w:szCs w:val="24"/>
        </w:rPr>
        <w:t>The importing country's record of violence against women and girls, including data on homicide rates and sexual violence.</w:t>
      </w:r>
    </w:p>
    <w:p w14:paraId="06F74B19" w14:textId="77777777" w:rsidR="00BE40F1" w:rsidRDefault="00BE40F1" w:rsidP="00BE40F1">
      <w:pPr>
        <w:pStyle w:val="ListParagraph"/>
        <w:numPr>
          <w:ilvl w:val="0"/>
          <w:numId w:val="45"/>
        </w:numPr>
        <w:tabs>
          <w:tab w:val="num" w:pos="720"/>
          <w:tab w:val="num" w:pos="1440"/>
        </w:tabs>
        <w:jc w:val="both"/>
        <w:rPr>
          <w:rFonts w:asciiTheme="majorBidi" w:hAnsiTheme="majorBidi" w:cstheme="majorBidi"/>
          <w:color w:val="000000" w:themeColor="text1"/>
          <w:sz w:val="24"/>
          <w:szCs w:val="24"/>
        </w:rPr>
      </w:pPr>
      <w:r w:rsidRPr="00BE40F1">
        <w:rPr>
          <w:rFonts w:asciiTheme="majorBidi" w:hAnsiTheme="majorBidi" w:cstheme="majorBidi"/>
          <w:color w:val="000000" w:themeColor="text1"/>
          <w:sz w:val="24"/>
          <w:szCs w:val="24"/>
        </w:rPr>
        <w:t>Patterns of attacks on civilians, hospitals, and critical infrastructure.</w:t>
      </w:r>
    </w:p>
    <w:p w14:paraId="22C7D104" w14:textId="776F2E57" w:rsidR="00D04710" w:rsidRPr="00EA7D7F" w:rsidRDefault="00BE40F1" w:rsidP="00EA7D7F">
      <w:pPr>
        <w:pStyle w:val="ListParagraph"/>
        <w:numPr>
          <w:ilvl w:val="0"/>
          <w:numId w:val="45"/>
        </w:numPr>
        <w:tabs>
          <w:tab w:val="num" w:pos="720"/>
          <w:tab w:val="num" w:pos="1440"/>
        </w:tabs>
        <w:jc w:val="both"/>
        <w:rPr>
          <w:rFonts w:asciiTheme="majorBidi" w:hAnsiTheme="majorBidi" w:cstheme="majorBidi"/>
          <w:color w:val="000000" w:themeColor="text1"/>
          <w:sz w:val="24"/>
          <w:szCs w:val="24"/>
          <w:rtl/>
        </w:rPr>
      </w:pPr>
      <w:r w:rsidRPr="00BE40F1">
        <w:rPr>
          <w:rFonts w:asciiTheme="majorBidi" w:hAnsiTheme="majorBidi" w:cstheme="majorBidi"/>
          <w:color w:val="000000" w:themeColor="text1"/>
          <w:sz w:val="24"/>
          <w:szCs w:val="24"/>
        </w:rPr>
        <w:t>The importing country's history of diverting or re-exporting arms to conflict zones.</w:t>
      </w:r>
    </w:p>
    <w:sectPr w:rsidR="00D04710" w:rsidRPr="00EA7D7F" w:rsidSect="00786D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0D53" w14:textId="77777777" w:rsidR="001642C2" w:rsidRDefault="001642C2" w:rsidP="004F6D5A">
      <w:pPr>
        <w:spacing w:after="0" w:line="240" w:lineRule="auto"/>
      </w:pPr>
      <w:r>
        <w:separator/>
      </w:r>
    </w:p>
  </w:endnote>
  <w:endnote w:type="continuationSeparator" w:id="0">
    <w:p w14:paraId="3D97682B" w14:textId="77777777" w:rsidR="001642C2" w:rsidRDefault="001642C2"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ABD7" w14:textId="77777777" w:rsidR="001642C2" w:rsidRDefault="001642C2" w:rsidP="004F6D5A">
      <w:pPr>
        <w:spacing w:after="0" w:line="240" w:lineRule="auto"/>
      </w:pPr>
      <w:r>
        <w:separator/>
      </w:r>
    </w:p>
  </w:footnote>
  <w:footnote w:type="continuationSeparator" w:id="0">
    <w:p w14:paraId="61AE9317" w14:textId="77777777" w:rsidR="001642C2" w:rsidRDefault="001642C2" w:rsidP="004F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BF4152"/>
    <w:multiLevelType w:val="multilevel"/>
    <w:tmpl w:val="2B5C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C59E9"/>
    <w:multiLevelType w:val="hybridMultilevel"/>
    <w:tmpl w:val="835CCE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62A5B"/>
    <w:multiLevelType w:val="hybridMultilevel"/>
    <w:tmpl w:val="6328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5139A5"/>
    <w:multiLevelType w:val="hybridMultilevel"/>
    <w:tmpl w:val="A89A8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FA11BD"/>
    <w:multiLevelType w:val="hybridMultilevel"/>
    <w:tmpl w:val="892C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0691B"/>
    <w:multiLevelType w:val="hybridMultilevel"/>
    <w:tmpl w:val="DA8AA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7B27A1"/>
    <w:multiLevelType w:val="hybridMultilevel"/>
    <w:tmpl w:val="0E7C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3C531E"/>
    <w:multiLevelType w:val="hybridMultilevel"/>
    <w:tmpl w:val="C290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B628E"/>
    <w:multiLevelType w:val="hybridMultilevel"/>
    <w:tmpl w:val="755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397D5D"/>
    <w:multiLevelType w:val="hybridMultilevel"/>
    <w:tmpl w:val="302E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15039"/>
    <w:multiLevelType w:val="hybridMultilevel"/>
    <w:tmpl w:val="9D649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B6F36"/>
    <w:multiLevelType w:val="hybridMultilevel"/>
    <w:tmpl w:val="549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42B4F"/>
    <w:multiLevelType w:val="hybridMultilevel"/>
    <w:tmpl w:val="7A56D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969025">
    <w:abstractNumId w:val="19"/>
  </w:num>
  <w:num w:numId="2" w16cid:durableId="319427900">
    <w:abstractNumId w:val="6"/>
  </w:num>
  <w:num w:numId="3" w16cid:durableId="483819352">
    <w:abstractNumId w:val="1"/>
  </w:num>
  <w:num w:numId="4" w16cid:durableId="1550531087">
    <w:abstractNumId w:val="14"/>
  </w:num>
  <w:num w:numId="5" w16cid:durableId="365302262">
    <w:abstractNumId w:val="4"/>
  </w:num>
  <w:num w:numId="6" w16cid:durableId="1490904455">
    <w:abstractNumId w:val="33"/>
  </w:num>
  <w:num w:numId="7" w16cid:durableId="1975796718">
    <w:abstractNumId w:val="38"/>
  </w:num>
  <w:num w:numId="8" w16cid:durableId="168910388">
    <w:abstractNumId w:val="42"/>
  </w:num>
  <w:num w:numId="9" w16cid:durableId="864364265">
    <w:abstractNumId w:val="31"/>
  </w:num>
  <w:num w:numId="10" w16cid:durableId="1110662610">
    <w:abstractNumId w:val="34"/>
  </w:num>
  <w:num w:numId="11" w16cid:durableId="48504678">
    <w:abstractNumId w:val="26"/>
  </w:num>
  <w:num w:numId="12" w16cid:durableId="1057243330">
    <w:abstractNumId w:val="41"/>
  </w:num>
  <w:num w:numId="13" w16cid:durableId="113838224">
    <w:abstractNumId w:val="24"/>
  </w:num>
  <w:num w:numId="14" w16cid:durableId="1819300015">
    <w:abstractNumId w:val="9"/>
  </w:num>
  <w:num w:numId="15" w16cid:durableId="1354769003">
    <w:abstractNumId w:val="30"/>
  </w:num>
  <w:num w:numId="16" w16cid:durableId="765884069">
    <w:abstractNumId w:val="15"/>
  </w:num>
  <w:num w:numId="17" w16cid:durableId="1830708544">
    <w:abstractNumId w:val="0"/>
  </w:num>
  <w:num w:numId="18" w16cid:durableId="1195772453">
    <w:abstractNumId w:val="20"/>
  </w:num>
  <w:num w:numId="19" w16cid:durableId="116266373">
    <w:abstractNumId w:val="2"/>
  </w:num>
  <w:num w:numId="20" w16cid:durableId="1165899663">
    <w:abstractNumId w:val="11"/>
  </w:num>
  <w:num w:numId="21" w16cid:durableId="1921870603">
    <w:abstractNumId w:val="44"/>
  </w:num>
  <w:num w:numId="22" w16cid:durableId="1106846340">
    <w:abstractNumId w:val="13"/>
  </w:num>
  <w:num w:numId="23" w16cid:durableId="1120413215">
    <w:abstractNumId w:val="18"/>
  </w:num>
  <w:num w:numId="24" w16cid:durableId="884490536">
    <w:abstractNumId w:val="32"/>
  </w:num>
  <w:num w:numId="25" w16cid:durableId="1098991049">
    <w:abstractNumId w:val="36"/>
  </w:num>
  <w:num w:numId="26" w16cid:durableId="631596808">
    <w:abstractNumId w:val="10"/>
  </w:num>
  <w:num w:numId="27" w16cid:durableId="1306087360">
    <w:abstractNumId w:val="8"/>
  </w:num>
  <w:num w:numId="28" w16cid:durableId="909191109">
    <w:abstractNumId w:val="27"/>
  </w:num>
  <w:num w:numId="29" w16cid:durableId="556204899">
    <w:abstractNumId w:val="28"/>
  </w:num>
  <w:num w:numId="30" w16cid:durableId="1668284805">
    <w:abstractNumId w:val="16"/>
  </w:num>
  <w:num w:numId="31" w16cid:durableId="1777868951">
    <w:abstractNumId w:val="25"/>
  </w:num>
  <w:num w:numId="32" w16cid:durableId="1614898655">
    <w:abstractNumId w:val="7"/>
  </w:num>
  <w:num w:numId="33" w16cid:durableId="364449577">
    <w:abstractNumId w:val="12"/>
  </w:num>
  <w:num w:numId="34" w16cid:durableId="248081818">
    <w:abstractNumId w:val="40"/>
  </w:num>
  <w:num w:numId="35" w16cid:durableId="1742749116">
    <w:abstractNumId w:val="37"/>
  </w:num>
  <w:num w:numId="36" w16cid:durableId="1632056943">
    <w:abstractNumId w:val="29"/>
  </w:num>
  <w:num w:numId="37" w16cid:durableId="16198188">
    <w:abstractNumId w:val="35"/>
  </w:num>
  <w:num w:numId="38" w16cid:durableId="995642619">
    <w:abstractNumId w:val="21"/>
  </w:num>
  <w:num w:numId="39" w16cid:durableId="1951429902">
    <w:abstractNumId w:val="43"/>
  </w:num>
  <w:num w:numId="40" w16cid:durableId="1660618793">
    <w:abstractNumId w:val="23"/>
  </w:num>
  <w:num w:numId="41" w16cid:durableId="566649021">
    <w:abstractNumId w:val="39"/>
  </w:num>
  <w:num w:numId="42" w16cid:durableId="230387690">
    <w:abstractNumId w:val="17"/>
  </w:num>
  <w:num w:numId="43" w16cid:durableId="335613693">
    <w:abstractNumId w:val="3"/>
  </w:num>
  <w:num w:numId="44" w16cid:durableId="1955866269">
    <w:abstractNumId w:val="5"/>
  </w:num>
  <w:num w:numId="45" w16cid:durableId="15340765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2084A"/>
    <w:rsid w:val="00042C6F"/>
    <w:rsid w:val="0004495D"/>
    <w:rsid w:val="0004619A"/>
    <w:rsid w:val="00046C49"/>
    <w:rsid w:val="00047ED5"/>
    <w:rsid w:val="00050B79"/>
    <w:rsid w:val="00086352"/>
    <w:rsid w:val="00093D9F"/>
    <w:rsid w:val="000A0E24"/>
    <w:rsid w:val="000B5D57"/>
    <w:rsid w:val="000B6F75"/>
    <w:rsid w:val="000C7C14"/>
    <w:rsid w:val="00101544"/>
    <w:rsid w:val="00107673"/>
    <w:rsid w:val="00114CCA"/>
    <w:rsid w:val="00156C09"/>
    <w:rsid w:val="001642C2"/>
    <w:rsid w:val="001668A8"/>
    <w:rsid w:val="00196443"/>
    <w:rsid w:val="001A6E66"/>
    <w:rsid w:val="001B13EB"/>
    <w:rsid w:val="001B450B"/>
    <w:rsid w:val="001D1DBC"/>
    <w:rsid w:val="001D532C"/>
    <w:rsid w:val="001D6213"/>
    <w:rsid w:val="001F354D"/>
    <w:rsid w:val="001F47FD"/>
    <w:rsid w:val="002257CD"/>
    <w:rsid w:val="002305C5"/>
    <w:rsid w:val="002533B2"/>
    <w:rsid w:val="00284AAE"/>
    <w:rsid w:val="0028723E"/>
    <w:rsid w:val="002876FE"/>
    <w:rsid w:val="0029400A"/>
    <w:rsid w:val="002D0B34"/>
    <w:rsid w:val="002D5B01"/>
    <w:rsid w:val="002D65A3"/>
    <w:rsid w:val="002D7273"/>
    <w:rsid w:val="003216C7"/>
    <w:rsid w:val="00326F85"/>
    <w:rsid w:val="003319F3"/>
    <w:rsid w:val="003439F7"/>
    <w:rsid w:val="00360DAB"/>
    <w:rsid w:val="00371F59"/>
    <w:rsid w:val="00372B51"/>
    <w:rsid w:val="0038184B"/>
    <w:rsid w:val="00383811"/>
    <w:rsid w:val="003A0EBE"/>
    <w:rsid w:val="003A1F96"/>
    <w:rsid w:val="003A60A9"/>
    <w:rsid w:val="003A745E"/>
    <w:rsid w:val="003B7C83"/>
    <w:rsid w:val="003C01C1"/>
    <w:rsid w:val="00401F8D"/>
    <w:rsid w:val="004055DB"/>
    <w:rsid w:val="004134D4"/>
    <w:rsid w:val="00414D42"/>
    <w:rsid w:val="004273C5"/>
    <w:rsid w:val="00434DDB"/>
    <w:rsid w:val="00436AE3"/>
    <w:rsid w:val="004650D2"/>
    <w:rsid w:val="00477C56"/>
    <w:rsid w:val="00484A19"/>
    <w:rsid w:val="00490571"/>
    <w:rsid w:val="004A7201"/>
    <w:rsid w:val="004F28E4"/>
    <w:rsid w:val="004F6D5A"/>
    <w:rsid w:val="004F6EC6"/>
    <w:rsid w:val="004F7950"/>
    <w:rsid w:val="005025C7"/>
    <w:rsid w:val="00505CB3"/>
    <w:rsid w:val="005132DF"/>
    <w:rsid w:val="0051677C"/>
    <w:rsid w:val="00531689"/>
    <w:rsid w:val="00531CED"/>
    <w:rsid w:val="005612DD"/>
    <w:rsid w:val="00566EF4"/>
    <w:rsid w:val="0058685C"/>
    <w:rsid w:val="005A38AA"/>
    <w:rsid w:val="005B3A8D"/>
    <w:rsid w:val="005C3446"/>
    <w:rsid w:val="005D38D7"/>
    <w:rsid w:val="005E2E96"/>
    <w:rsid w:val="005E642C"/>
    <w:rsid w:val="006105E2"/>
    <w:rsid w:val="00640577"/>
    <w:rsid w:val="006412F6"/>
    <w:rsid w:val="00644334"/>
    <w:rsid w:val="00644785"/>
    <w:rsid w:val="00646A53"/>
    <w:rsid w:val="006807A3"/>
    <w:rsid w:val="00683E71"/>
    <w:rsid w:val="00690C3F"/>
    <w:rsid w:val="00693967"/>
    <w:rsid w:val="006946CB"/>
    <w:rsid w:val="006B1AFB"/>
    <w:rsid w:val="006F5D15"/>
    <w:rsid w:val="00713444"/>
    <w:rsid w:val="00720C57"/>
    <w:rsid w:val="00741D51"/>
    <w:rsid w:val="0074772B"/>
    <w:rsid w:val="0075015E"/>
    <w:rsid w:val="00755B2C"/>
    <w:rsid w:val="00771104"/>
    <w:rsid w:val="00786D2C"/>
    <w:rsid w:val="007A3C77"/>
    <w:rsid w:val="007B5697"/>
    <w:rsid w:val="007C2144"/>
    <w:rsid w:val="007C3E73"/>
    <w:rsid w:val="007E38ED"/>
    <w:rsid w:val="007E56C8"/>
    <w:rsid w:val="007F62CB"/>
    <w:rsid w:val="00823531"/>
    <w:rsid w:val="00823F46"/>
    <w:rsid w:val="00826C6D"/>
    <w:rsid w:val="00843A10"/>
    <w:rsid w:val="00846A51"/>
    <w:rsid w:val="008566A8"/>
    <w:rsid w:val="00860C1C"/>
    <w:rsid w:val="00871BB0"/>
    <w:rsid w:val="00875304"/>
    <w:rsid w:val="008823E1"/>
    <w:rsid w:val="00884133"/>
    <w:rsid w:val="008A0867"/>
    <w:rsid w:val="008F0744"/>
    <w:rsid w:val="008F2641"/>
    <w:rsid w:val="0091285A"/>
    <w:rsid w:val="009337BF"/>
    <w:rsid w:val="009412A9"/>
    <w:rsid w:val="009850AD"/>
    <w:rsid w:val="00990858"/>
    <w:rsid w:val="009B028E"/>
    <w:rsid w:val="009C623E"/>
    <w:rsid w:val="009D1F8F"/>
    <w:rsid w:val="009E15C5"/>
    <w:rsid w:val="009E290C"/>
    <w:rsid w:val="00A162C1"/>
    <w:rsid w:val="00A31EA7"/>
    <w:rsid w:val="00A3448D"/>
    <w:rsid w:val="00A37636"/>
    <w:rsid w:val="00A537CE"/>
    <w:rsid w:val="00A63977"/>
    <w:rsid w:val="00A64F85"/>
    <w:rsid w:val="00A81650"/>
    <w:rsid w:val="00A81860"/>
    <w:rsid w:val="00A83C1E"/>
    <w:rsid w:val="00AB2EAB"/>
    <w:rsid w:val="00AE7B0F"/>
    <w:rsid w:val="00AF7FD1"/>
    <w:rsid w:val="00B01D47"/>
    <w:rsid w:val="00B23185"/>
    <w:rsid w:val="00B35D5B"/>
    <w:rsid w:val="00B36D64"/>
    <w:rsid w:val="00B50DC2"/>
    <w:rsid w:val="00B53978"/>
    <w:rsid w:val="00B66916"/>
    <w:rsid w:val="00B76BA7"/>
    <w:rsid w:val="00BA7411"/>
    <w:rsid w:val="00BB10FB"/>
    <w:rsid w:val="00BB2414"/>
    <w:rsid w:val="00BB2E0C"/>
    <w:rsid w:val="00BC2D2E"/>
    <w:rsid w:val="00BC41A1"/>
    <w:rsid w:val="00BD5FAD"/>
    <w:rsid w:val="00BE40F1"/>
    <w:rsid w:val="00BE6F35"/>
    <w:rsid w:val="00BF1B11"/>
    <w:rsid w:val="00BF478D"/>
    <w:rsid w:val="00C0706B"/>
    <w:rsid w:val="00C26FE4"/>
    <w:rsid w:val="00C34E13"/>
    <w:rsid w:val="00C351FE"/>
    <w:rsid w:val="00C47923"/>
    <w:rsid w:val="00C86D0C"/>
    <w:rsid w:val="00CC193E"/>
    <w:rsid w:val="00CC2F15"/>
    <w:rsid w:val="00CC606D"/>
    <w:rsid w:val="00CD3720"/>
    <w:rsid w:val="00CD5381"/>
    <w:rsid w:val="00D01C6A"/>
    <w:rsid w:val="00D04710"/>
    <w:rsid w:val="00D11899"/>
    <w:rsid w:val="00D500E7"/>
    <w:rsid w:val="00D56CB6"/>
    <w:rsid w:val="00D57B63"/>
    <w:rsid w:val="00D65CAF"/>
    <w:rsid w:val="00D674C8"/>
    <w:rsid w:val="00DA1879"/>
    <w:rsid w:val="00DB04A9"/>
    <w:rsid w:val="00DB5AB9"/>
    <w:rsid w:val="00DC35AC"/>
    <w:rsid w:val="00DD77D6"/>
    <w:rsid w:val="00DE35AB"/>
    <w:rsid w:val="00DE6A62"/>
    <w:rsid w:val="00DF3596"/>
    <w:rsid w:val="00E12DC0"/>
    <w:rsid w:val="00E3117B"/>
    <w:rsid w:val="00E4520A"/>
    <w:rsid w:val="00E45A93"/>
    <w:rsid w:val="00E47C87"/>
    <w:rsid w:val="00E55456"/>
    <w:rsid w:val="00E820AA"/>
    <w:rsid w:val="00E94DD0"/>
    <w:rsid w:val="00E9641B"/>
    <w:rsid w:val="00EA2C34"/>
    <w:rsid w:val="00EA4670"/>
    <w:rsid w:val="00EA7D7F"/>
    <w:rsid w:val="00EB7424"/>
    <w:rsid w:val="00ED3ED2"/>
    <w:rsid w:val="00ED7702"/>
    <w:rsid w:val="00EF597D"/>
    <w:rsid w:val="00F27F37"/>
    <w:rsid w:val="00F533B4"/>
    <w:rsid w:val="00F56B3D"/>
    <w:rsid w:val="00F60E10"/>
    <w:rsid w:val="00F715CB"/>
    <w:rsid w:val="00F72F2C"/>
    <w:rsid w:val="00F8429A"/>
    <w:rsid w:val="00F871C7"/>
    <w:rsid w:val="00F94355"/>
    <w:rsid w:val="00FA13E3"/>
    <w:rsid w:val="00FA5CD7"/>
    <w:rsid w:val="00FD2C1E"/>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1">
    <w:name w:val="Unresolved Mention1"/>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 w:type="character" w:styleId="UnresolvedMention">
    <w:name w:val="Unresolved Mention"/>
    <w:basedOn w:val="DefaultParagraphFont"/>
    <w:uiPriority w:val="99"/>
    <w:semiHidden/>
    <w:unhideWhenUsed/>
    <w:rsid w:val="006105E2"/>
    <w:rPr>
      <w:color w:val="605E5C"/>
      <w:shd w:val="clear" w:color="auto" w:fill="E1DFDD"/>
    </w:rPr>
  </w:style>
  <w:style w:type="table" w:styleId="GridTable5Dark-Accent1">
    <w:name w:val="Grid Table 5 Dark Accent 1"/>
    <w:basedOn w:val="TableNormal"/>
    <w:uiPriority w:val="50"/>
    <w:rsid w:val="00D500E7"/>
    <w:pPr>
      <w:spacing w:before="100" w:beforeAutospacing="1" w:after="0" w:afterAutospacing="1"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1083">
      <w:bodyDiv w:val="1"/>
      <w:marLeft w:val="0"/>
      <w:marRight w:val="0"/>
      <w:marTop w:val="0"/>
      <w:marBottom w:val="0"/>
      <w:divBdr>
        <w:top w:val="none" w:sz="0" w:space="0" w:color="auto"/>
        <w:left w:val="none" w:sz="0" w:space="0" w:color="auto"/>
        <w:bottom w:val="none" w:sz="0" w:space="0" w:color="auto"/>
        <w:right w:val="none" w:sz="0" w:space="0" w:color="auto"/>
      </w:divBdr>
    </w:div>
    <w:div w:id="664556909">
      <w:bodyDiv w:val="1"/>
      <w:marLeft w:val="0"/>
      <w:marRight w:val="0"/>
      <w:marTop w:val="0"/>
      <w:marBottom w:val="0"/>
      <w:divBdr>
        <w:top w:val="none" w:sz="0" w:space="0" w:color="auto"/>
        <w:left w:val="none" w:sz="0" w:space="0" w:color="auto"/>
        <w:bottom w:val="none" w:sz="0" w:space="0" w:color="auto"/>
        <w:right w:val="none" w:sz="0" w:space="0" w:color="auto"/>
      </w:divBdr>
    </w:div>
    <w:div w:id="1346781868">
      <w:bodyDiv w:val="1"/>
      <w:marLeft w:val="0"/>
      <w:marRight w:val="0"/>
      <w:marTop w:val="0"/>
      <w:marBottom w:val="0"/>
      <w:divBdr>
        <w:top w:val="none" w:sz="0" w:space="0" w:color="auto"/>
        <w:left w:val="none" w:sz="0" w:space="0" w:color="auto"/>
        <w:bottom w:val="none" w:sz="0" w:space="0" w:color="auto"/>
        <w:right w:val="none" w:sz="0" w:space="0" w:color="auto"/>
      </w:divBdr>
    </w:div>
    <w:div w:id="16554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8CFA-3D8E-489F-8992-A7625FD7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2025-08-20T12:56:00Z</dcterms:created>
  <dcterms:modified xsi:type="dcterms:W3CDTF">2025-08-20T12:56:00Z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ies>
</file>